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5E" w:rsidRDefault="00223CC5">
      <w:bookmarkStart w:id="0" w:name="_GoBack"/>
      <w:bookmarkEnd w:id="0"/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</w:t>
      </w:r>
      <w:r>
        <w:rPr>
          <w:rFonts w:ascii="Liberation Serif" w:hAnsi="Liberation Serif"/>
          <w:sz w:val="26"/>
          <w:szCs w:val="26"/>
        </w:rPr>
        <w:t>УТВЕРЖДАЮ</w:t>
      </w:r>
    </w:p>
    <w:p w:rsidR="0024505E" w:rsidRDefault="00223CC5">
      <w:pPr>
        <w:tabs>
          <w:tab w:val="left" w:pos="13395"/>
          <w:tab w:val="right" w:pos="14853"/>
        </w:tabs>
        <w:ind w:left="900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Председатель Комиссии по противодействию коррупции Министерства образования и молодежной политики Свердловской области</w:t>
      </w:r>
    </w:p>
    <w:p w:rsidR="0024505E" w:rsidRDefault="0024505E">
      <w:pPr>
        <w:tabs>
          <w:tab w:val="left" w:pos="13395"/>
          <w:tab w:val="right" w:pos="14853"/>
        </w:tabs>
        <w:ind w:left="9000"/>
        <w:rPr>
          <w:rFonts w:ascii="Liberation Serif" w:hAnsi="Liberation Serif"/>
          <w:sz w:val="26"/>
          <w:szCs w:val="26"/>
        </w:rPr>
      </w:pPr>
    </w:p>
    <w:p w:rsidR="0024505E" w:rsidRDefault="00223CC5">
      <w:pPr>
        <w:ind w:left="900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 Ю.И. Биктуганов</w:t>
      </w:r>
    </w:p>
    <w:p w:rsidR="0024505E" w:rsidRDefault="00223CC5">
      <w:pPr>
        <w:ind w:left="900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26.12.2022</w:t>
      </w:r>
    </w:p>
    <w:p w:rsidR="0024505E" w:rsidRDefault="0024505E">
      <w:pPr>
        <w:jc w:val="center"/>
        <w:rPr>
          <w:b/>
          <w:sz w:val="28"/>
          <w:szCs w:val="28"/>
        </w:rPr>
      </w:pPr>
    </w:p>
    <w:p w:rsidR="0024505E" w:rsidRDefault="0024505E">
      <w:pPr>
        <w:jc w:val="center"/>
        <w:rPr>
          <w:b/>
          <w:sz w:val="28"/>
          <w:szCs w:val="28"/>
        </w:rPr>
      </w:pPr>
    </w:p>
    <w:p w:rsidR="0024505E" w:rsidRDefault="00223CC5">
      <w:pPr>
        <w:ind w:left="-284" w:right="-28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План работы Комиссии по противодействию коррупции </w:t>
      </w:r>
    </w:p>
    <w:p w:rsidR="0024505E" w:rsidRDefault="00223CC5">
      <w:pPr>
        <w:ind w:left="-284" w:right="-28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Министерства образования и молодежной политики Свердловской области на 2023 год </w:t>
      </w:r>
    </w:p>
    <w:p w:rsidR="0024505E" w:rsidRDefault="0024505E">
      <w:pPr>
        <w:ind w:left="-284" w:right="-282"/>
        <w:jc w:val="center"/>
        <w:rPr>
          <w:b/>
          <w:sz w:val="28"/>
          <w:szCs w:val="28"/>
        </w:rPr>
      </w:pPr>
    </w:p>
    <w:tbl>
      <w:tblPr>
        <w:tblW w:w="14781" w:type="dxa"/>
        <w:tblInd w:w="-72" w:type="dxa"/>
        <w:tblCellMar>
          <w:left w:w="10" w:type="dxa"/>
          <w:right w:w="10" w:type="dxa"/>
        </w:tblCellMar>
        <w:tblLook w:val="0000"/>
      </w:tblPr>
      <w:tblGrid>
        <w:gridCol w:w="11880"/>
        <w:gridCol w:w="2901"/>
      </w:tblGrid>
      <w:tr w:rsidR="0024505E">
        <w:trPr>
          <w:trHeight w:val="966"/>
          <w:tblHeader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5E" w:rsidRDefault="00223CC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Вопросы для рассмотрения и обсуждения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Ответственный</w:t>
            </w:r>
            <w:proofErr w:type="gramEnd"/>
          </w:p>
          <w:p w:rsidR="0024505E" w:rsidRDefault="00223CC5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за подготовку вопросов повестки</w:t>
            </w:r>
          </w:p>
        </w:tc>
      </w:tr>
      <w:tr w:rsidR="0024505E">
        <w:trPr>
          <w:trHeight w:val="412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jc w:val="center"/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квартал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4505E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4505E">
        <w:trPr>
          <w:trHeight w:val="972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 О нарушениях, выявленных в ходе проверок отделом финансового контроля 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аудита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подведомственных Министерству образования и молодежной политики Свердловской области </w:t>
            </w:r>
          </w:p>
          <w:p w:rsidR="0024505E" w:rsidRDefault="00223CC5">
            <w:pPr>
              <w:ind w:right="72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(далее – Министерство) образовательных организаций (по мере поступления материалов)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Н.В. Попов</w:t>
            </w:r>
          </w:p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702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Об организации работы по противодействию коррупции в подведомственных Министерству образовательных организаций (по представлению отдела государственной службы и кадров)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712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3. О результатах финансового контроля 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аудита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подведомственных Министерству образовательных организаций в 2022 году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Н.В. Попов</w:t>
            </w:r>
          </w:p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522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4. Об исполнении в 2022 году Плана работы Министерства по противодействию коррупции на 2021–2024 годы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5. О правоприменительной практике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недействительными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ненормативных правовых актов, незаконными решений и действий (бездействий) Министерства и должностных лиц Министерства в 2022 году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А.В. Прядеин</w:t>
            </w:r>
          </w:p>
        </w:tc>
      </w:tr>
      <w:tr w:rsidR="0024505E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6.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 передаче полномочий по рассмотрению вопросов, связанных с соблюдением руководителями подведомственных Министерству организаций законодательства Российской Федерации о противодействии коррупции, в том числе требований статьи 133 Федерального закона от 25 декабря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2008 года № 273-ФЗ «О противодействии коррупции» в Комиссию по соблюдению требований к служебному поведению государственных гражданских служащих Министерства и урегулированию конфликта интересов (во исполнение п.п. 3.2 п. 3 р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протокола заседания комиссии по координации работы по противодействию коррупции Свердловской области от 30.06.2022 (от 16.08.2022 № 2-К)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В.В. Пьянков</w:t>
            </w:r>
          </w:p>
        </w:tc>
      </w:tr>
      <w:tr w:rsidR="0024505E">
        <w:trPr>
          <w:trHeight w:val="349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jc w:val="center"/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lang w:val="en-US"/>
              </w:rPr>
              <w:lastRenderedPageBreak/>
              <w:t>II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692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 О нарушениях, выявленных в ходе проверок отделом финансового контроля 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аудита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подведомственных Министерству образовательных организаций (по мере поступления материалов)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Н.В. Попов</w:t>
            </w:r>
          </w:p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702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Об организации работы по противодействию коррупции в подведомственных Министерству образовательных организаций (по представлению отдела государственной службы и кадров)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699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 О противодействии коррупции при проведении закупок товаров, работ и услуг для государственных нужд Свердловской области в 2022 году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А.В. Прядеин</w:t>
            </w:r>
          </w:p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И.В. Гречановская</w:t>
            </w:r>
          </w:p>
        </w:tc>
      </w:tr>
      <w:tr w:rsidR="0024505E">
        <w:trPr>
          <w:trHeight w:val="718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 Об организации работы по рассмотрению обращений граждан и организаций, содержащих информацию о коррупции в 2022 году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О.Н. Унгвицкая</w:t>
            </w:r>
          </w:p>
        </w:tc>
      </w:tr>
      <w:tr w:rsidR="0024505E">
        <w:trPr>
          <w:trHeight w:val="674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 О состоянии работы по предупреждению коррупции в подведомственных Министерству государственных организациях в 2022 году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414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776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 О нарушениях, выявленных в ходе проверок отделом финансового контроля 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аудита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подведомственных Министерству образовательных организаций (по мере поступления материалов)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Н.В. Попов</w:t>
            </w:r>
          </w:p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706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Об организации работы по противодействию коррупции в подведомственных Министерству образовательных организаций (по представлению отдела государственной службы и кадров)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724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 Об исполнении Плана работы Министерства по противодействию коррупции на 2021–2024 годы в 1 полугодии 2023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724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4. О правоприменительной практике по результатам вступивших в законную силу решений судов, арбитражных судов о признании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недействительными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ненормативных правовых актов, незаконными решений и действий (бездействий) Министерства и должностных лиц Министерства                                           в 1 полугодии 2023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А.В. Прядеин</w:t>
            </w:r>
          </w:p>
        </w:tc>
      </w:tr>
      <w:tr w:rsidR="0024505E">
        <w:trPr>
          <w:trHeight w:val="317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jc w:val="center"/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lang w:val="en-US"/>
              </w:rPr>
              <w:lastRenderedPageBreak/>
              <w:t>IV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704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1. О нарушениях, выявленных в ходе проверок отделом финансового контроля 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аудита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подведомственных Министерству образовательных организаций (по мере поступления материалов)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Н.В. Попов</w:t>
            </w:r>
          </w:p>
          <w:p w:rsidR="0024505E" w:rsidRDefault="0024505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4505E">
        <w:trPr>
          <w:trHeight w:val="687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right="72"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Об организации работы по противодействию коррупции в подведомственных Министерству образовательных организаций (по представлению отдела государственной службы и кадров)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427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3.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О мерах по недопущению возможного отрицательного влияния близких родственных связей на служебные отношения в подведомственных Министерству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образовательных организациях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689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 О проекте плана-графика проверок организации антикоррупционной работы в подведомственных Министерству образовательных организациях на 2024 год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  <w:tr w:rsidR="0024505E">
        <w:trPr>
          <w:trHeight w:val="416"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ind w:firstLine="43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 О проекте плана работы Комиссии по противодействию коррупции на 2024 год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05E" w:rsidRDefault="00223CC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В.В. Пьянков</w:t>
            </w:r>
          </w:p>
        </w:tc>
      </w:tr>
    </w:tbl>
    <w:p w:rsidR="0024505E" w:rsidRDefault="0024505E"/>
    <w:sectPr w:rsidR="0024505E" w:rsidSect="00F96125">
      <w:headerReference w:type="default" r:id="rId6"/>
      <w:pgSz w:w="16838" w:h="11906" w:orient="landscape"/>
      <w:pgMar w:top="851" w:right="1134" w:bottom="993" w:left="1134" w:header="35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8A" w:rsidRDefault="003E598A">
      <w:r>
        <w:separator/>
      </w:r>
    </w:p>
  </w:endnote>
  <w:endnote w:type="continuationSeparator" w:id="0">
    <w:p w:rsidR="003E598A" w:rsidRDefault="003E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8A" w:rsidRDefault="003E598A">
      <w:r>
        <w:rPr>
          <w:color w:val="000000"/>
        </w:rPr>
        <w:separator/>
      </w:r>
    </w:p>
  </w:footnote>
  <w:footnote w:type="continuationSeparator" w:id="0">
    <w:p w:rsidR="003E598A" w:rsidRDefault="003E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7B" w:rsidRDefault="00F96125">
    <w:pPr>
      <w:pStyle w:val="a5"/>
      <w:ind w:right="-28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0;margin-top:1.05pt;width:0;height:0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" filled="f" stroked="f">
          <v:textbox style="mso-fit-shape-to-text:t" inset="0,0,0,0">
            <w:txbxContent>
              <w:p w:rsidR="00A1797B" w:rsidRDefault="00F96125">
                <w:pPr>
                  <w:pStyle w:val="a5"/>
                  <w:ind w:right="-282"/>
                </w:pPr>
                <w:r>
                  <w:rPr>
                    <w:rStyle w:val="ad"/>
                    <w:rFonts w:ascii="Liberation Serif" w:hAnsi="Liberation Serif" w:cs="Liberation Serif"/>
                    <w:sz w:val="26"/>
                    <w:szCs w:val="26"/>
                  </w:rPr>
                  <w:fldChar w:fldCharType="begin"/>
                </w:r>
                <w:r w:rsidR="00223CC5">
                  <w:rPr>
                    <w:rStyle w:val="ad"/>
                    <w:rFonts w:ascii="Liberation Serif" w:hAnsi="Liberation Serif" w:cs="Liberation Serif"/>
                    <w:sz w:val="26"/>
                    <w:szCs w:val="26"/>
                  </w:rPr>
                  <w:instrText xml:space="preserve"> PAGE </w:instrText>
                </w:r>
                <w:r>
                  <w:rPr>
                    <w:rStyle w:val="ad"/>
                    <w:rFonts w:ascii="Liberation Serif" w:hAnsi="Liberation Serif" w:cs="Liberation Serif"/>
                    <w:sz w:val="26"/>
                    <w:szCs w:val="26"/>
                  </w:rPr>
                  <w:fldChar w:fldCharType="separate"/>
                </w:r>
                <w:r w:rsidR="006437B3">
                  <w:rPr>
                    <w:rStyle w:val="ad"/>
                    <w:rFonts w:ascii="Liberation Serif" w:hAnsi="Liberation Serif" w:cs="Liberation Serif"/>
                    <w:noProof/>
                    <w:sz w:val="26"/>
                    <w:szCs w:val="26"/>
                  </w:rPr>
                  <w:t>2</w:t>
                </w:r>
                <w:r>
                  <w:rPr>
                    <w:rStyle w:val="ad"/>
                    <w:rFonts w:ascii="Liberation Serif" w:hAnsi="Liberation Serif" w:cs="Liberation Serif"/>
                    <w:sz w:val="26"/>
                    <w:szCs w:val="2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505E"/>
    <w:rsid w:val="00223CC5"/>
    <w:rsid w:val="0024505E"/>
    <w:rsid w:val="003E598A"/>
    <w:rsid w:val="006437B3"/>
    <w:rsid w:val="00F9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125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F96125"/>
    <w:pPr>
      <w:autoSpaceDE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6125"/>
    <w:pPr>
      <w:jc w:val="center"/>
    </w:pPr>
    <w:rPr>
      <w:sz w:val="28"/>
      <w:szCs w:val="20"/>
    </w:rPr>
  </w:style>
  <w:style w:type="paragraph" w:styleId="3">
    <w:name w:val="Body Text 3"/>
    <w:basedOn w:val="a"/>
    <w:rsid w:val="00F96125"/>
    <w:pPr>
      <w:jc w:val="both"/>
    </w:pPr>
    <w:rPr>
      <w:sz w:val="28"/>
      <w:szCs w:val="20"/>
    </w:rPr>
  </w:style>
  <w:style w:type="paragraph" w:customStyle="1" w:styleId="a4">
    <w:name w:val="Знак"/>
    <w:basedOn w:val="a"/>
    <w:rsid w:val="00F961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F9612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6125"/>
    <w:pPr>
      <w:tabs>
        <w:tab w:val="center" w:pos="4677"/>
        <w:tab w:val="right" w:pos="9355"/>
      </w:tabs>
    </w:pPr>
  </w:style>
  <w:style w:type="paragraph" w:styleId="a7">
    <w:name w:val="Balloon Text"/>
    <w:basedOn w:val="a"/>
    <w:rsid w:val="00F96125"/>
    <w:rPr>
      <w:rFonts w:ascii="Tahoma" w:hAnsi="Tahoma" w:cs="Tahoma"/>
      <w:sz w:val="16"/>
      <w:szCs w:val="16"/>
    </w:rPr>
  </w:style>
  <w:style w:type="character" w:styleId="a8">
    <w:name w:val="Hyperlink"/>
    <w:rsid w:val="00F96125"/>
    <w:rPr>
      <w:rFonts w:cs="Times New Roman"/>
      <w:color w:val="0000FF"/>
      <w:u w:val="single"/>
    </w:rPr>
  </w:style>
  <w:style w:type="character" w:customStyle="1" w:styleId="a9">
    <w:name w:val="Основной текст Знак"/>
    <w:rsid w:val="00F96125"/>
    <w:rPr>
      <w:sz w:val="28"/>
      <w:lang w:val="ru-RU" w:eastAsia="ru-RU" w:bidi="ar-SA"/>
    </w:rPr>
  </w:style>
  <w:style w:type="paragraph" w:styleId="aa">
    <w:name w:val="List Paragraph"/>
    <w:basedOn w:val="a"/>
    <w:rsid w:val="00F9612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Прижатый влево"/>
    <w:basedOn w:val="a"/>
    <w:next w:val="a"/>
    <w:rsid w:val="00F96125"/>
    <w:pPr>
      <w:widowControl w:val="0"/>
      <w:autoSpaceDE w:val="0"/>
    </w:pPr>
    <w:rPr>
      <w:rFonts w:ascii="Arial" w:eastAsia="Calibri" w:hAnsi="Arial"/>
    </w:rPr>
  </w:style>
  <w:style w:type="paragraph" w:customStyle="1" w:styleId="ac">
    <w:name w:val="Знак Знак"/>
    <w:basedOn w:val="a"/>
    <w:rsid w:val="00F961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page number"/>
    <w:basedOn w:val="a0"/>
    <w:rsid w:val="00F96125"/>
  </w:style>
  <w:style w:type="paragraph" w:customStyle="1" w:styleId="ConsPlusNormal">
    <w:name w:val="ConsPlusNormal"/>
    <w:rsid w:val="00F96125"/>
    <w:pPr>
      <w:suppressAutoHyphens/>
      <w:autoSpaceDE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 организационных мероприятий</vt:lpstr>
    </vt:vector>
  </TitlesOfParts>
  <Company>RePack by SPecialiST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 организационных мероприятий</dc:title>
  <dc:creator>user</dc:creator>
  <cp:lastModifiedBy>ЭВМ_4</cp:lastModifiedBy>
  <cp:revision>2</cp:revision>
  <cp:lastPrinted>2022-12-26T04:14:00Z</cp:lastPrinted>
  <dcterms:created xsi:type="dcterms:W3CDTF">2024-09-13T10:06:00Z</dcterms:created>
  <dcterms:modified xsi:type="dcterms:W3CDTF">2024-09-13T10:06:00Z</dcterms:modified>
</cp:coreProperties>
</file>